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jc w:val="center"/>
        <w:textAlignment w:val="auto"/>
        <w:rPr>
          <w:rFonts w:hint="eastAsia" w:ascii="Times New Roman" w:hAnsi="Times New Roman" w:eastAsia="宋体"/>
          <w:b/>
          <w:bCs/>
          <w:color w:val="auto"/>
          <w:sz w:val="24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</w:rPr>
        <w:t>大气环境影响评价自查表</w:t>
      </w:r>
    </w:p>
    <w:tbl>
      <w:tblPr>
        <w:tblStyle w:val="10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1"/>
        <w:gridCol w:w="1723"/>
        <w:gridCol w:w="997"/>
        <w:gridCol w:w="500"/>
        <w:gridCol w:w="395"/>
        <w:gridCol w:w="398"/>
        <w:gridCol w:w="294"/>
        <w:gridCol w:w="533"/>
        <w:gridCol w:w="906"/>
        <w:gridCol w:w="500"/>
        <w:gridCol w:w="381"/>
        <w:gridCol w:w="452"/>
        <w:gridCol w:w="424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工作内容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评价等级与范围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一级□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三级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评价范围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+NO</w:t>
            </w: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排放量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340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500~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＜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 t/a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基本污染物 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10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2.5、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、CO、O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3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其他污染物 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22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国家标准☑</w:t>
            </w:r>
          </w:p>
        </w:tc>
        <w:tc>
          <w:tcPr>
            <w:tcW w:w="17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地方标准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附录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D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环境功能区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一类区□</w:t>
            </w:r>
          </w:p>
        </w:tc>
        <w:tc>
          <w:tcPr>
            <w:tcW w:w="19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99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一类区和二类区□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评价基准年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（201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8、2019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环境空气质量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现状调查数据来源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长期例行监测数据□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主管部门发布的数据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现状补充监测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达标区□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调查内容</w:t>
            </w:r>
          </w:p>
        </w:tc>
        <w:tc>
          <w:tcPr>
            <w:tcW w:w="22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本项目正常排放源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本项目非正常排放源□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现有污染源□</w:t>
            </w:r>
          </w:p>
        </w:tc>
        <w:tc>
          <w:tcPr>
            <w:tcW w:w="17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拟替代的污染源□</w:t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其他在建、拟建项目污染源□</w:t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区域污染源□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大气环境影响预测与评价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预测模型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AERMOD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ADMS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22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AUSTAL2000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9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EDMS/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AEDT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CALPUFF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网格模型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7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预测范围</w:t>
            </w:r>
          </w:p>
        </w:tc>
        <w:tc>
          <w:tcPr>
            <w:tcW w:w="18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301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、SO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正常排放短期浓度贡献值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5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DF535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DF535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6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9F3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0549F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最大占标率＞100%□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正常排放年均浓度贡献值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</w:t>
            </w:r>
          </w:p>
        </w:tc>
        <w:tc>
          <w:tcPr>
            <w:tcW w:w="30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7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B5A02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CB5A0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</w:t>
            </w:r>
            <w:bookmarkStart w:id="0" w:name="OLE_LINK7"/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bookmarkEnd w:id="0"/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10%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A3"/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8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0BF2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ED0BF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</w:p>
        </w:tc>
        <w:tc>
          <w:tcPr>
            <w:tcW w:w="30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9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30FF5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230FF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30%</w:t>
            </w:r>
            <w:bookmarkStart w:id="1" w:name="_GoBack"/>
            <w:bookmarkEnd w:id="1"/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0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2148C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82148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30%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非正常排放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1h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浓度贡献值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非正常持续时长（）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h</w:t>
            </w:r>
          </w:p>
        </w:tc>
        <w:tc>
          <w:tcPr>
            <w:tcW w:w="252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1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C3D35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7C3D3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2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3B0C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323B0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保证率日平均浓度和年平均浓度叠加值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3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53DD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5153DD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4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658AC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A658A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区域环境质量的整体变化情况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 xml:space="preserve">k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400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>k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环境监测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计划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污染源监测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烟尘、SO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 、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有组织废气监测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无组织废气监测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环境质量监测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监测因子：（）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监测点位数（）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评价结论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环境影响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可以接受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不可以接受□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大气环境防护距离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距（厂界）厂界最远（0）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污染源年排放量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0.599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6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0.572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烟尘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0.36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VOC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baseline"/>
              </w:rPr>
              <w:t>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241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注：“□”为勾选项，填“√”；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“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”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为内容填写项</w:t>
            </w:r>
          </w:p>
        </w:tc>
      </w:tr>
    </w:tbl>
    <w:p>
      <w:pPr>
        <w:ind w:left="0" w:leftChars="0" w:firstLine="0" w:firstLineChars="0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"/>
        </w:rPr>
        <w:t>建设项目地表水环境影响评价自查表</w:t>
      </w:r>
    </w:p>
    <w:tbl>
      <w:tblPr>
        <w:tblStyle w:val="11"/>
        <w:tblW w:w="14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546"/>
        <w:gridCol w:w="1870"/>
        <w:gridCol w:w="335"/>
        <w:gridCol w:w="1471"/>
        <w:gridCol w:w="735"/>
        <w:gridCol w:w="695"/>
        <w:gridCol w:w="1501"/>
        <w:gridCol w:w="9"/>
        <w:gridCol w:w="994"/>
        <w:gridCol w:w="882"/>
        <w:gridCol w:w="155"/>
        <w:gridCol w:w="175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工作内容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影响识别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影响类型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；水文要素影响型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饮用水水源保护区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；饮用水取水口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；涉水的自然保护区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；重要湿地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重点保护与珍稀水生生物的栖息地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；重要水生生物的自然产卵场及索饵场、越冬场和洄游通道、天然渔场等渔业水体□；涉水的风景名胜区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影响途径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直接排放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；间接排放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；径流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；水域面积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影响因子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持久性污染物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；有毒有害污染物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；非持久性污染物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pH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值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；热污染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；富营养化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；水位（水深）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评价等级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A 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现状调查</w:t>
            </w: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区域污染源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已建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；在建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；拟建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拟替代的污染源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排污许可证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；环评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；环保验收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；既有实测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；现场监测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；入河排放数据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受影响水体水环境质量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生态环境保护主管部门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区域水资源开发利用状况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未开发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水文情势调查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调查时期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水行政主管部门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补充监测</w:t>
            </w: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监测时期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监测断面或点位个数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（COD、SS 、氨氮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评价标准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河流、湖库、河口：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II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；Ⅲ类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；Ⅳ类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；Ⅴ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近岸海域：第一类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；第二类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；第三类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；第四类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规划年评价标准（）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86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水环境保护目标质量状况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对照断面、控制断面等代表性断面的水质状况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底泥污染评价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水资源与开发利用程度及其水文情势评价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水环境质量回顾评价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达标区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不达标区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影响预测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设计水文条件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预测情景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建设期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；生产运行期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；服务期满后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污染控制和减缓措施方案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区（流）域环境质量改善目标要求情景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预测方法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数值解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；解析解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；导则推荐模式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水污染控制和水源井影响减缓措施有效性评价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区（流）域水环境质量改善目标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；替代削减源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水环境影响评价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排放口混合区外满足水环境管理要求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满足水环境保护目标水域水环境质量要求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满足重点水污染物排放总量控制指标要求，重点行业建设项目，主要污染物排放满足等量或减量替代要求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满足区（流）域水环境质量改善目标要求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水文要素影响型建设项目同时应包括水文情势变化评价、主要水文特征值影响评价、生态流量符合性评价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对于新设或调整入河（湖库、近岸海域）排放口的建设项目，应包括排放口设置的环境合理性评价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满足生态保护红线、水环境质量底线、资源利用上线和环境准入清单管理要求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污染源排放量核算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（COD、氨氮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、SS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0.1016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、氨氮：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0.0102、SS：0.0203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50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、氨氮：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5、SS：10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替代源排放情况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污染源名称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排放许可证编号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生态流量确定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生态水位：一般水期（）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防治措施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环境措施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污水处理设施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；水文减缓设施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；生态流量保障设施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；区域消减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；依托其他工程措施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监测计划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环境质量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监测方式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监测点位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</w:rPr>
              <w:t>CODcr、NH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</w:rPr>
              <w:t>-N、SS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污染物排放清单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可以接受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；不可以接受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“□”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为勾选项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，可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为内容填写项；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备注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为其他补充内容</w:t>
            </w:r>
          </w:p>
        </w:tc>
      </w:tr>
    </w:tbl>
    <w:p>
      <w:pPr>
        <w:pStyle w:val="8"/>
        <w:sectPr>
          <w:pgSz w:w="16838" w:h="11906" w:orient="landscape"/>
          <w:pgMar w:top="1440" w:right="1080" w:bottom="1361" w:left="108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环境风险评价自查表</w:t>
      </w:r>
    </w:p>
    <w:tbl>
      <w:tblPr>
        <w:tblStyle w:val="10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518"/>
        <w:gridCol w:w="1039"/>
        <w:gridCol w:w="314"/>
        <w:gridCol w:w="342"/>
        <w:gridCol w:w="505"/>
        <w:gridCol w:w="57"/>
        <w:gridCol w:w="451"/>
        <w:gridCol w:w="54"/>
        <w:gridCol w:w="189"/>
        <w:gridCol w:w="237"/>
        <w:gridCol w:w="203"/>
        <w:gridCol w:w="515"/>
        <w:gridCol w:w="158"/>
        <w:gridCol w:w="452"/>
        <w:gridCol w:w="106"/>
        <w:gridCol w:w="241"/>
        <w:gridCol w:w="224"/>
        <w:gridCol w:w="253"/>
        <w:gridCol w:w="79"/>
        <w:gridCol w:w="637"/>
        <w:gridCol w:w="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</w:t>
            </w:r>
            <w:r>
              <w:rPr>
                <w:sz w:val="18"/>
                <w:szCs w:val="18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查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</w:t>
            </w:r>
            <w:r>
              <w:rPr>
                <w:sz w:val="18"/>
                <w:szCs w:val="18"/>
              </w:rPr>
              <w:t>物质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天然气</w:t>
            </w: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存在总量/t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环境敏感性</w:t>
            </w: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286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500m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范围内人口数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  <w:lang w:val="en-US" w:eastAsia="zh-CN"/>
              </w:rPr>
              <w:t>7360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highlight w:val="none"/>
              </w:rPr>
              <w:t>人</w:t>
            </w:r>
          </w:p>
        </w:tc>
        <w:tc>
          <w:tcPr>
            <w:tcW w:w="2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5km</w:t>
            </w:r>
            <w:r>
              <w:rPr>
                <w:rFonts w:hint="eastAsia" w:ascii="宋体" w:hAnsi="宋体"/>
                <w:sz w:val="18"/>
                <w:szCs w:val="18"/>
              </w:rPr>
              <w:t>范围内人口数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4301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每公里管段周边200m</w:t>
            </w:r>
            <w:r>
              <w:rPr>
                <w:rFonts w:hint="eastAsia" w:ascii="宋体" w:hAnsi="宋体"/>
                <w:sz w:val="18"/>
                <w:szCs w:val="18"/>
              </w:rPr>
              <w:t>范围内人口数（最大）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F3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环境敏感目标分级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包气带防污性能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物质及工艺系统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危险性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＞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程度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潜势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</w:t>
            </w:r>
            <w:r>
              <w:rPr>
                <w:rFonts w:hint="eastAsia"/>
                <w:sz w:val="18"/>
                <w:szCs w:val="18"/>
                <w:vertAlign w:val="superscript"/>
              </w:rPr>
              <w:t>+</w:t>
            </w: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Ⅳ□</w:t>
            </w:r>
          </w:p>
        </w:tc>
        <w:tc>
          <w:tcPr>
            <w:tcW w:w="1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Ⅲ□</w:t>
            </w:r>
          </w:p>
        </w:tc>
        <w:tc>
          <w:tcPr>
            <w:tcW w:w="1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Ⅱ□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一级□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简单分析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物质危险性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有毒有害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易燃易爆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泄漏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火灾、爆炸引发伴生/</w:t>
            </w:r>
            <w:r>
              <w:rPr>
                <w:rFonts w:hint="eastAsia" w:ascii="宋体" w:hAnsi="宋体"/>
                <w:sz w:val="18"/>
                <w:szCs w:val="18"/>
              </w:rPr>
              <w:t>次生污染物排放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影响途径</w:t>
            </w:r>
          </w:p>
        </w:tc>
        <w:tc>
          <w:tcPr>
            <w:tcW w:w="2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22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22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事故情形分析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计算法□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经验估算法□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其他估算法□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SLAB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AFTOX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预测结果</w:t>
            </w: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大气毒性终点浓度-1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大气毒性终点浓度-2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下游厂区边界到达时间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重点风险防范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措施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加强应急物资供应；加强本企业的环保技术培训，提高本企业全体员工的环境意识和综合素质。</w:t>
            </w:r>
          </w:p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定期对生产设备进行检修维护，对厂区地面进行硬化处理。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评价结论与建议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本项目无重大风险源，在加强厂区防火管理、完善事故应急预案的基础上,事故发生概率很低，经过妥善的风险防范措施，本项目环境风险在可接受的范围内。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4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注：“□”为勾选项，“ ”为填写项。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25093"/>
    <w:rsid w:val="05E86FED"/>
    <w:rsid w:val="0C3B09EA"/>
    <w:rsid w:val="1B164DCD"/>
    <w:rsid w:val="1FBC428A"/>
    <w:rsid w:val="22CB55E5"/>
    <w:rsid w:val="24307A67"/>
    <w:rsid w:val="2494688B"/>
    <w:rsid w:val="2ACD11E5"/>
    <w:rsid w:val="2B7C093D"/>
    <w:rsid w:val="2BD5293F"/>
    <w:rsid w:val="2CFC03F1"/>
    <w:rsid w:val="2D555C6A"/>
    <w:rsid w:val="2F750FCC"/>
    <w:rsid w:val="3159603C"/>
    <w:rsid w:val="320E0C43"/>
    <w:rsid w:val="34135078"/>
    <w:rsid w:val="38323AB9"/>
    <w:rsid w:val="3AF044C9"/>
    <w:rsid w:val="404B2D6A"/>
    <w:rsid w:val="41B715B2"/>
    <w:rsid w:val="47C56822"/>
    <w:rsid w:val="47C6623D"/>
    <w:rsid w:val="4A62191C"/>
    <w:rsid w:val="4D195CE4"/>
    <w:rsid w:val="51430BFE"/>
    <w:rsid w:val="56705321"/>
    <w:rsid w:val="5A30245B"/>
    <w:rsid w:val="5D07377B"/>
    <w:rsid w:val="5DA5771B"/>
    <w:rsid w:val="61F33B40"/>
    <w:rsid w:val="62925093"/>
    <w:rsid w:val="64C95F5F"/>
    <w:rsid w:val="6C320FA1"/>
    <w:rsid w:val="779107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 w:asciiTheme="minorAscii" w:hAnsiTheme="minorAscii"/>
      <w:kern w:val="44"/>
      <w:sz w:val="32"/>
      <w:szCs w:val="2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customStyle="1" w:styleId="3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  <w:sz w:val="24"/>
      <w:szCs w:val="24"/>
    </w:rPr>
  </w:style>
  <w:style w:type="paragraph" w:styleId="7">
    <w:name w:val="Body Text Indent"/>
    <w:basedOn w:val="1"/>
    <w:qFormat/>
    <w:uiPriority w:val="99"/>
    <w:pPr>
      <w:ind w:left="420" w:leftChars="200"/>
    </w:pPr>
  </w:style>
  <w:style w:type="paragraph" w:styleId="8">
    <w:name w:val="Body Text First Indent"/>
    <w:basedOn w:val="2"/>
    <w:next w:val="1"/>
    <w:qFormat/>
    <w:uiPriority w:val="0"/>
    <w:pPr>
      <w:ind w:firstLine="420" w:firstLineChars="100"/>
    </w:pPr>
  </w:style>
  <w:style w:type="paragraph" w:styleId="9">
    <w:name w:val="Body Text First Indent 2"/>
    <w:basedOn w:val="7"/>
    <w:qFormat/>
    <w:uiPriority w:val="99"/>
    <w:pPr>
      <w:ind w:firstLine="420"/>
    </w:p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文字"/>
    <w:basedOn w:val="2"/>
    <w:qFormat/>
    <w:uiPriority w:val="0"/>
    <w:pPr>
      <w:widowControl/>
      <w:spacing w:before="78" w:beforeLines="25" w:after="78" w:afterLines="25"/>
      <w:jc w:val="center"/>
    </w:pPr>
    <w:rPr>
      <w:rFonts w:ascii="宋体" w:hAnsi="宋体" w:eastAsia="仿宋_GB2312" w:cs="宋体"/>
      <w:kern w:val="0"/>
      <w:sz w:val="24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2019-08-27T02:38:00Z</dcterms:created>
  <dc:creator>阿拉法的贝塔</dc:creator>
  <cp:lastModifiedBy>祖国的小花朵</cp:lastModifiedBy>
  <dcterms:modified xsi:type="dcterms:W3CDTF">2020-12-14T07:24:08Z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